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b/>
          <w:bCs/>
          <w:sz w:val="32"/>
          <w:szCs w:val="36"/>
          <w:lang w:val="en-US" w:eastAsia="zh-CN"/>
        </w:rPr>
      </w:pPr>
      <w:r>
        <w:rPr>
          <w:rFonts w:hint="eastAsia"/>
          <w:b/>
          <w:bCs/>
          <w:sz w:val="32"/>
          <w:szCs w:val="36"/>
          <w:lang w:val="en-US" w:eastAsia="zh-CN"/>
        </w:rPr>
        <w:t>服务器询价清单及技术要求</w:t>
      </w:r>
    </w:p>
    <w:p>
      <w:pPr>
        <w:pStyle w:val="2"/>
        <w:bidi w:val="0"/>
        <w:rPr>
          <w:rFonts w:hint="default"/>
          <w:sz w:val="22"/>
          <w:szCs w:val="22"/>
          <w:lang w:val="en-US" w:eastAsia="zh-CN"/>
        </w:rPr>
      </w:pPr>
      <w:r>
        <w:rPr>
          <w:rFonts w:hint="eastAsia"/>
          <w:sz w:val="22"/>
          <w:szCs w:val="22"/>
          <w:lang w:val="en-US" w:eastAsia="zh-CN"/>
        </w:rPr>
        <w:t>一、清单</w:t>
      </w:r>
    </w:p>
    <w:tbl>
      <w:tblPr>
        <w:tblW w:w="145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158"/>
        <w:gridCol w:w="1867"/>
        <w:gridCol w:w="8139"/>
        <w:gridCol w:w="632"/>
        <w:gridCol w:w="1264"/>
        <w:gridCol w:w="15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5" w:hRule="atLeast"/>
        </w:trPr>
        <w:tc>
          <w:tcPr>
            <w:tcW w:w="115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产品名称</w:t>
            </w:r>
          </w:p>
        </w:tc>
        <w:tc>
          <w:tcPr>
            <w:tcW w:w="18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配件</w:t>
            </w:r>
          </w:p>
        </w:tc>
        <w:tc>
          <w:tcPr>
            <w:tcW w:w="813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技术参数</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数量</w:t>
            </w:r>
          </w:p>
        </w:tc>
        <w:tc>
          <w:tcPr>
            <w:tcW w:w="126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单价（元）</w:t>
            </w:r>
          </w:p>
        </w:tc>
        <w:tc>
          <w:tcPr>
            <w:tcW w:w="151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1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虚拟化服务器</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机箱</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8盘位2.5寸</w:t>
            </w:r>
          </w:p>
        </w:tc>
        <w:tc>
          <w:tcPr>
            <w:tcW w:w="632"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126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CPU</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4*英特尔至强金牌5320H20核心40线程2.4Ghz频率27.5MB缓存</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内存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 * 32GB DDR4 RDIMM, 3200MHz</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系统盘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2块960GB SSD (RAID 1)</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阵列卡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9361-8i2G缓存，含掉电保护</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网卡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1*2个10GbE含SFP+模块，4个1GbE电口</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HBA卡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16G双端口FC HBA卡</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管理</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带外管理模块</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电源</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4*1300W亢余电源</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导轨</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滑动导轨</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质保服务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3年7*24*4服务</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FCSAN存储</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控制器</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双控128G缓存</w:t>
            </w:r>
            <w:bookmarkStart w:id="0" w:name="_GoBack"/>
            <w:bookmarkEnd w:id="0"/>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SAN前端接口</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4个16GFC接口</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后端口扩展</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2个12GSAS扩展接口</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RAID级别</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 1, 3. 5, 6, 10, 50, 60, InRAID 5, 6</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机械盘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1.8TB SAS 10K HDD (RAID5)</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资源效率提升</w:t>
            </w:r>
          </w:p>
        </w:tc>
        <w:tc>
          <w:tcPr>
            <w:tcW w:w="8139"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智能精简、智能数据迁移、 智能在线压缩、智能卷转换、 智能在线压缩、 智能在线重删、智能多租户</w:t>
            </w:r>
          </w:p>
        </w:tc>
        <w:tc>
          <w:tcPr>
            <w:tcW w:w="632"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8139"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22"/>
                <w:szCs w:val="22"/>
                <w:u w:val="none"/>
              </w:rPr>
            </w:pP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数据保护</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智能快照、智能克隆、智能卷备份、智能卷镜像、智能数据销毁</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系统支持</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VMware vCenter、vStorage (VAAl)、Zerto、Arxscan</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质保服务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3年7*24*4服务</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服务器2</w:t>
            </w:r>
          </w:p>
        </w:tc>
        <w:tc>
          <w:tcPr>
            <w:tcW w:w="186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H3C UniServer R6900 G3</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H3C UniServer R6900 G3 机箱;</w:t>
            </w:r>
          </w:p>
        </w:tc>
        <w:tc>
          <w:tcPr>
            <w:tcW w:w="632"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 * H3C UniServer R6900 G3计算模块(支持2路CPU,支持8SFF);</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 * H3C UniServer R6900 G3 6230(2.1GHz/20核/27.5MB/125W) CPU模块(FIO);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 * 64GB 2Rx4 DDR4-2933P-R内存模块(FIO);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4SFF硬盘扩展模块(FIO);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 * 1.2TB 12G SAS 10K 2.5in EP HDD通用硬盘模块(FIO);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FHHL转接卡(机箱槽位1/3/4/6)(支持6个X8 FHHL,支持MLOM)(FIO);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LSI G2超级电容模块B(计算模块导风罩);</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LSI 9361-8i 12Gb 2端口SAS RAID卡(支持8个SAS口,2G缓存,不含掉电保护);</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4端口GE电接口MLOM(X722)网卡-360T L3(FIO);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2端口万兆光接口网卡(SFP+)-530F-B2;</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 * 800W 交流&amp;240V高压直流电源模块(FP-R1-白金)(CMCTO);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SlimSAS转接电缆-0.71m-(SlimSAS 38Pin直)-(SAS Cable)-(SlimSAS 38Pin直);</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SAS转接电缆-0.2m-(2*SAS 36Pin直)-(SAS Cable)-(SAS HD 72Pin直);</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服务器系统管理模块(G3)(FIO);</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 * 机箱抬手;</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4U滚珠滑轨;</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H3C服务器首次基础安装服务</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备份一体机</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机箱</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12盘位,3.5寸</w:t>
            </w:r>
          </w:p>
        </w:tc>
        <w:tc>
          <w:tcPr>
            <w:tcW w:w="632"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CPU</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2*4310</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内存: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2*32G</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缓存盘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2*480G SATA SSD</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数据盘</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6*8TB SAS/SATA 7.2K</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授权</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30TB容量授权</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网卡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1*2人10GbE含SFP+模块，2人1G6E电</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电源</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几余电源</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导轨</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滑轨</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管理</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带外管理模块</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质保服务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3年7*24*4服务</w:t>
            </w:r>
          </w:p>
        </w:tc>
        <w:tc>
          <w:tcPr>
            <w:tcW w:w="632"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虚拟化软件</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计算虚拟化</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Incloud SphereV6标准版</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12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虚拟化管理</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InCloud Center 标准版</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11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应用交付网关(AD)（负载均衡）</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性能参数：4层吞吐量（默认网口）：3Gbps，四层并发连接数：8000000，4层新建连接数 CPS：100000，7层新建请求数 RPS：150000。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硬件参数：规格：1U，内存大小：8G，硬盘容量：128G minisata SSD，电源：单电源，接口：6千兆电口+2千兆光口SFP。</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功能描述：深信服应用交付 AD 能够为用户提供包括多数据中心负载均衡、多链路负载均衡、服务器负载均衡的全方位解决方案。不仅实现对各个数据中心、链路以及服务器状态的实时监控，同时根据预设规则，将用户的访问请求分配给相应的数据中心、 链路以及服务器，进而实现数据流的合理分配，使所有的数据中心、链路和服务器都得到充分的利用。深信服应用交付 AD 还支持与各个云平台对接，实现云场景下租户的自服务负载需求；IPv6改造方案，可有效攻克“天窗”问题。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含：</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深信服应用交付软件V7.0(*1套);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软件升级(*1年);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产品质保（标准版）(*1年);</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12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业务安全软件</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业务访问安全平台</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业务访问安全平台主软件，提供系统管理、用户管理、设备管理、应用管理、动态访问控制、运维管理等功能</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577" w:type="dxa"/>
            <w:gridSpan w:val="6"/>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MicrosoftYaHei" w:hAnsi="MicrosoftYaHei" w:eastAsia="MicrosoftYaHei" w:cs="MicrosoftYaHei"/>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1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实施</w:t>
            </w:r>
          </w:p>
        </w:tc>
        <w:tc>
          <w:tcPr>
            <w:tcW w:w="18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部署服务</w:t>
            </w:r>
          </w:p>
        </w:tc>
        <w:tc>
          <w:tcPr>
            <w:tcW w:w="8139"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设备安装调试，虚拟化平台部署实施服务</w:t>
            </w:r>
          </w:p>
        </w:tc>
        <w:tc>
          <w:tcPr>
            <w:tcW w:w="6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1264"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c>
          <w:tcPr>
            <w:tcW w:w="1517"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060" w:type="dxa"/>
            <w:gridSpan w:val="5"/>
            <w:tcBorders>
              <w:top w:val="single" w:color="000000" w:sz="4" w:space="0"/>
              <w:left w:val="single" w:color="000000" w:sz="4" w:space="0"/>
              <w:bottom w:val="single" w:color="000000" w:sz="4" w:space="0"/>
              <w:right w:val="single" w:color="000000" w:sz="4" w:space="0"/>
            </w:tcBorders>
            <w:shd w:val="clear" w:color="auto" w:fill="E2EFDA"/>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合计</w:t>
            </w:r>
          </w:p>
        </w:tc>
        <w:tc>
          <w:tcPr>
            <w:tcW w:w="1517" w:type="dxa"/>
            <w:tcBorders>
              <w:top w:val="single" w:color="000000" w:sz="4" w:space="0"/>
              <w:left w:val="single" w:color="000000" w:sz="4" w:space="0"/>
              <w:bottom w:val="single" w:color="000000" w:sz="4" w:space="0"/>
              <w:right w:val="single" w:color="000000" w:sz="4" w:space="0"/>
            </w:tcBorders>
            <w:shd w:val="clear" w:color="auto" w:fill="E2EFDA"/>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0.00 </w:t>
            </w:r>
          </w:p>
        </w:tc>
      </w:tr>
    </w:tbl>
    <w:p>
      <w:pPr>
        <w:rPr>
          <w:rFonts w:hint="eastAsia"/>
          <w:lang w:val="en-US" w:eastAsia="zh-CN"/>
        </w:rPr>
      </w:pPr>
    </w:p>
    <w:p>
      <w:pPr>
        <w:rPr>
          <w:rFonts w:hint="eastAsia"/>
          <w:lang w:val="en-US" w:eastAsia="zh-CN"/>
        </w:rPr>
      </w:pPr>
    </w:p>
    <w:p>
      <w:pPr>
        <w:rPr>
          <w:rFonts w:hint="default"/>
          <w:lang w:val="en-US" w:eastAsia="zh-CN"/>
        </w:rPr>
        <w:sectPr>
          <w:pgSz w:w="16838" w:h="11906" w:orient="landscape"/>
          <w:pgMar w:top="1080" w:right="1134" w:bottom="1080" w:left="1134" w:header="851" w:footer="992" w:gutter="0"/>
          <w:cols w:space="0" w:num="1"/>
          <w:rtlGutter w:val="0"/>
          <w:docGrid w:type="lines" w:linePitch="312" w:charSpace="0"/>
        </w:sectPr>
      </w:pPr>
    </w:p>
    <w:p>
      <w:pPr>
        <w:pStyle w:val="2"/>
        <w:bidi w:val="0"/>
        <w:rPr>
          <w:rFonts w:hint="default"/>
          <w:lang w:val="en-US" w:eastAsia="zh-CN"/>
        </w:rPr>
      </w:pPr>
      <w:r>
        <w:rPr>
          <w:rFonts w:hint="eastAsia"/>
          <w:lang w:val="en-US" w:eastAsia="zh-CN"/>
        </w:rPr>
        <w:t>二、技术要求</w:t>
      </w: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2.1 </w:t>
      </w:r>
      <w:r>
        <w:rPr>
          <w:rFonts w:hint="eastAsia" w:ascii="宋体" w:hAnsi="宋体" w:eastAsia="宋体" w:cs="宋体"/>
          <w:b/>
          <w:bCs/>
          <w:sz w:val="22"/>
          <w:szCs w:val="22"/>
        </w:rPr>
        <w:t>需求一：虚拟化服务器（3台）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7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b/>
                <w:bCs/>
                <w:sz w:val="22"/>
                <w:szCs w:val="22"/>
              </w:rPr>
            </w:pPr>
            <w:r>
              <w:rPr>
                <w:rFonts w:hint="eastAsia" w:ascii="宋体" w:hAnsi="宋体" w:eastAsia="宋体" w:cs="宋体"/>
                <w:b/>
                <w:bCs/>
                <w:sz w:val="22"/>
                <w:szCs w:val="22"/>
              </w:rPr>
              <w:t>指标项目</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b/>
                <w:bCs/>
                <w:sz w:val="22"/>
                <w:szCs w:val="22"/>
              </w:rPr>
            </w:pPr>
            <w:r>
              <w:rPr>
                <w:rFonts w:hint="eastAsia" w:ascii="宋体" w:hAnsi="宋体" w:eastAsia="宋体" w:cs="宋体"/>
                <w:b/>
                <w:bCs/>
                <w:sz w:val="22"/>
                <w:szCs w:val="22"/>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总体要求</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国内知名的国产服务器主流厂商，具备自主产品的研发、生产能力、非OEM；服务器厂商是中国X86服务器市场主导品牌(需提供近两年内IDC发布的中国X86服务器半年度出货量排名第一或第二的有效证明)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机箱</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标准4U服务器（含滑动导轨）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处理器要求</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支持2颗或4颗第三代英特尔® 至强® 可扩展处理器；</w:t>
            </w:r>
            <w:r>
              <w:rPr>
                <w:rFonts w:hint="eastAsia" w:ascii="宋体" w:hAnsi="宋体" w:eastAsia="宋体" w:cs="宋体"/>
                <w:sz w:val="22"/>
                <w:szCs w:val="22"/>
              </w:rPr>
              <w:br w:type="textWrapping"/>
            </w:r>
            <w:r>
              <w:rPr>
                <w:rFonts w:hint="eastAsia" w:ascii="宋体" w:hAnsi="宋体" w:eastAsia="宋体" w:cs="宋体"/>
                <w:sz w:val="22"/>
                <w:szCs w:val="22"/>
              </w:rPr>
              <w:t>实配≥4颗英特尔至强金牌处理器，每颗处理器20核心，2.4Ghz频率，27.5MB缓存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内存要求</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总体要求：最大支持48个内存插槽；支持RDIMM，LRDIMM，PMem200系列内存；</w:t>
            </w:r>
            <w:r>
              <w:rPr>
                <w:rFonts w:hint="eastAsia" w:ascii="宋体" w:hAnsi="宋体" w:eastAsia="宋体" w:cs="宋体"/>
                <w:sz w:val="22"/>
                <w:szCs w:val="22"/>
              </w:rPr>
              <w:br w:type="textWrapping"/>
            </w:r>
            <w:r>
              <w:rPr>
                <w:rFonts w:hint="eastAsia" w:ascii="宋体" w:hAnsi="宋体" w:eastAsia="宋体" w:cs="宋体"/>
                <w:sz w:val="22"/>
                <w:szCs w:val="22"/>
              </w:rPr>
              <w:t>实配≥512GB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本地存储</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总体要求：可支持最大50个标准硬盘槽位（主流出货满足49盘位），支持SAS/SATA/NVMe接口，支持24NVMe全闪</w:t>
            </w:r>
            <w:r>
              <w:rPr>
                <w:rFonts w:hint="eastAsia" w:ascii="宋体" w:hAnsi="宋体" w:eastAsia="宋体" w:cs="宋体"/>
                <w:sz w:val="22"/>
                <w:szCs w:val="22"/>
              </w:rPr>
              <w:br w:type="textWrapping"/>
            </w:r>
            <w:r>
              <w:rPr>
                <w:rFonts w:hint="eastAsia" w:ascii="宋体" w:hAnsi="宋体" w:eastAsia="宋体" w:cs="宋体"/>
                <w:sz w:val="22"/>
                <w:szCs w:val="22"/>
              </w:rPr>
              <w:t>实配≥2个960GB SSD硬盘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标准接口</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前置: 1个USB3.0接口, 1个USB2.0接口, 1个VGA接口</w:t>
            </w:r>
            <w:r>
              <w:rPr>
                <w:rFonts w:hint="eastAsia" w:ascii="宋体" w:hAnsi="宋体" w:eastAsia="宋体" w:cs="宋体"/>
                <w:sz w:val="22"/>
                <w:szCs w:val="22"/>
              </w:rPr>
              <w:br w:type="textWrapping"/>
            </w:r>
            <w:r>
              <w:rPr>
                <w:rFonts w:hint="eastAsia" w:ascii="宋体" w:hAnsi="宋体" w:eastAsia="宋体" w:cs="宋体"/>
                <w:sz w:val="22"/>
                <w:szCs w:val="22"/>
              </w:rPr>
              <w:t>内置：1个USB3.0接口</w:t>
            </w:r>
            <w:r>
              <w:rPr>
                <w:rFonts w:hint="eastAsia" w:ascii="宋体" w:hAnsi="宋体" w:eastAsia="宋体" w:cs="宋体"/>
                <w:sz w:val="22"/>
                <w:szCs w:val="22"/>
              </w:rPr>
              <w:br w:type="textWrapping"/>
            </w:r>
            <w:r>
              <w:rPr>
                <w:rFonts w:hint="eastAsia" w:ascii="宋体" w:hAnsi="宋体" w:eastAsia="宋体" w:cs="宋体"/>
                <w:sz w:val="22"/>
                <w:szCs w:val="22"/>
              </w:rPr>
              <w:t>后置: 2个USB3.0接口, 1个VGA接口, 1个专业管理网口，1个BMC诊断串口，1个系统串口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RAID支持</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配置SAS raid 卡，缓存≥2G，可支持raid 0/1/5 /6/10/50/60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网络接口</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实配≥1个四端口千兆电口网卡；1个双端口万兆网卡（含多模模块）；1个双端口16Gb FC 光纤通道卡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840"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I/O扩展槽以及扩展模块配置</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支持18个PCIe x8/x16后置插槽、支持1个OCP卡扩展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84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支持4个双宽GPU、8个单宽GPU，提供电源接口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电源模块</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支持4个550W/800W/1300W/1600W/2000W CPRS电源（铂金），支持N+N冗余，支持可选钛金级别</w:t>
            </w:r>
          </w:p>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实配≥4个1300W电源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散热</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多达12个冗余热插拔风扇（双转子）。由风扇控制器、风扇，独立风扇控制；采用双转子大尺寸风扇，支持免工具热插拔维护。风扇转速自动调节，对节点透明；风流向前进后出；具备防回流设计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管理功能</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集成系统管理芯片，支持IPMI2.0、KVM over IP、虚拟媒体等管理功能</w:t>
            </w:r>
            <w:r>
              <w:rPr>
                <w:rFonts w:hint="eastAsia" w:ascii="宋体" w:hAnsi="宋体" w:eastAsia="宋体" w:cs="宋体"/>
                <w:sz w:val="22"/>
                <w:szCs w:val="22"/>
              </w:rPr>
              <w:br w:type="textWrapping"/>
            </w:r>
            <w:r>
              <w:rPr>
                <w:rFonts w:hint="eastAsia" w:ascii="宋体" w:hAnsi="宋体" w:eastAsia="宋体" w:cs="宋体"/>
                <w:sz w:val="22"/>
                <w:szCs w:val="22"/>
              </w:rPr>
              <w:t>提供原厂服务器管理套件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84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质保服务</w:t>
            </w:r>
          </w:p>
        </w:tc>
        <w:tc>
          <w:tcPr>
            <w:tcW w:w="7979"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 xml:space="preserve">三年免费整机硬件保修 </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sz w:val="22"/>
          <w:szCs w:val="22"/>
        </w:rPr>
      </w:pPr>
      <w:r>
        <w:rPr>
          <w:rFonts w:hint="eastAsia" w:ascii="宋体" w:hAnsi="宋体" w:eastAsia="宋体" w:cs="宋体"/>
          <w:sz w:val="22"/>
          <w:szCs w:val="22"/>
        </w:rPr>
        <w:br w:type="page"/>
      </w: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2.2 </w:t>
      </w:r>
      <w:r>
        <w:rPr>
          <w:rFonts w:hint="eastAsia" w:ascii="宋体" w:hAnsi="宋体" w:eastAsia="宋体" w:cs="宋体"/>
          <w:b/>
          <w:bCs/>
          <w:sz w:val="22"/>
          <w:szCs w:val="22"/>
        </w:rPr>
        <w:t>需求二、虚拟化软件（16颗CPU授权+1套管理平台）</w:t>
      </w:r>
    </w:p>
    <w:tbl>
      <w:tblPr>
        <w:tblStyle w:val="4"/>
        <w:tblW w:w="979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73"/>
        <w:gridCol w:w="822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392" w:hRule="atLeast"/>
        </w:trPr>
        <w:tc>
          <w:tcPr>
            <w:tcW w:w="1573" w:type="dxa"/>
            <w:shd w:val="clear" w:color="auto" w:fill="auto"/>
            <w:vAlign w:val="center"/>
          </w:tcPr>
          <w:p>
            <w:pPr>
              <w:pageBreakBefore w:val="0"/>
              <w:widowControl/>
              <w:kinsoku/>
              <w:wordWrap/>
              <w:overflowPunct/>
              <w:topLinePunct w:val="0"/>
              <w:autoSpaceDE/>
              <w:autoSpaceDN/>
              <w:bidi w:val="0"/>
              <w:adjustRightInd/>
              <w:spacing w:line="288" w:lineRule="auto"/>
              <w:ind w:left="0"/>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类别</w:t>
            </w: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技术要求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1573" w:type="dxa"/>
            <w:vMerge w:val="restart"/>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功能要求</w:t>
            </w: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品牌要求：国内品牌，拥有自主知识产权，且与投标虚拟化服务器同一品牌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1573"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支持物理机的全部功能，如具有自己的资源（CPU，内存，网卡，存储、软驱、光驱、显卡等），可以指定单独的IP地址、MAC地址等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为方便运维人员操作，提供B/S和C/S两种虚拟机控制台使用方式，C/S客户端无任何授权限制，支持本地文件托拉拽到虚拟机内部且支持和本地共享粘贴板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502"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虚拟机和裸金属服务器统一管理，支持对裸金属服务器远程电源管理、挂载安装ISO镜像等操作，可将虚拟机镜像部署为裸金属服务器操作系统，可查看裸金属服务器电源状态、CPU、内存、硬盘等硬件信息，支持打开裸金属服务器控制台进行运维操作</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支持在线双向跨云迁移功能，在管理界面内将源站点的虚拟机不中断的迁移到目标站点平台内，跨云迁移的站点包括但不限于vSphere、投标品牌虚拟化平台等，迁移过程无需手动关机和重启操作</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提供云边协同管理功能，支持中心站点分发应用至各个边缘站点，可一键将中心站点已部署配置完毕的应用虚拟机迁移至各边缘站点，支持基于GIS技术的全局站点展示视图，实时查看各站点资源状态</w:t>
            </w:r>
            <w:r>
              <w:rPr>
                <w:rFonts w:hint="eastAsia" w:ascii="宋体" w:hAnsi="宋体" w:eastAsia="宋体" w:cs="宋体"/>
                <w:color w:val="000000"/>
                <w:kern w:val="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支持以VMware、Hyper-V、XenSever等国外主流虚拟化平台磁盘格式，包括但不限于VMDK\VHD\VHDX格式的磁盘镜像创建虚拟机，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74"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提供云网融合一体化图形管理界面，虚拟化管理平台支持纳管、配置和监控物理交换机设备，虚拟化管理平台界面支持设置物理交换机环路检测、端口速率、LLDP功能开关、端口聚合等；支持在虚拟化管理界面查看物理交换机各个端口信号灯状态、VLAN ID、连接状态、速率、带宽利用率、对端连接设备、光模块类型和匹配状态等信息，</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虚拟化管理平台可配置和一键部署大数据集群，快速提供大数据集群服务，管理平台支持以大数据镜像方式创建manager和worker节点，并支持灵活配置大数据服务CPU，内存，磁盘规格和磁盘数量，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502"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支持通过Access Key授权超融合平台的API调用，每个用户可生成多个AccessKey，支持启用、禁用或者删除自己创建的AccessKey；生成的密钥对应包含AccessKey ID、AccessKey Secret、启用状态、所有者和生成时间等信息，提供截图证明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平台支持多种登录认证策略以提升平台安全级别，包括但不限于身份认证、双因子认证、OTP身份认证，开启OTP认证后，用户登录系统时除需要用户密码外，还需要输入六位验证码，支持将验证码发送到用户邮箱，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6"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系统环境一键巡检，包括不限于资源使用、物理设备、存储空间、网络使用与IP冲突等状况，支持按照每日、每周、每月设置巡检周期，支持设置巡检报告最大保留份数记录，支持自动发送检测报告到指定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1502"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常见的虚拟资源和物理资源报警，包括但不限于CPU、内存、网卡和硬盘等资源；平台支持不同类型的报警级别，不同级别的报警需要发出对应级别的报警消息；支持邮件、短信、微信、钉钉、Teams及webhook等工具接收告警消息</w:t>
            </w:r>
            <w:r>
              <w:rPr>
                <w:rFonts w:hint="eastAsia" w:ascii="宋体" w:hAnsi="宋体" w:eastAsia="宋体" w:cs="宋体"/>
                <w:color w:val="000000"/>
                <w:kern w:val="0"/>
                <w:sz w:val="22"/>
                <w:szCs w:val="22"/>
                <w:lang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支持无NTP、Chrony等时钟服务的应用场景下，虚拟机业务系统定期自动与主机时间同步，以实现虚拟机业务系统效便捷的时间配置管理，时间同步周期不高于30分钟，提供截图证明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502"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DRS动态资源调度、支持DPM动态电源调度，支持虚拟机故障HA功能，可配置HA接入控制策略，HA最大尝试次数、HA资源预留，且支持HA故障切换主机设置，达到故障隔离的效果，并支持配置虚拟机自启动策略和启动优先级，提供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支持GPU组功能，支持GPU透传给虚拟机使用，支持vGPU功能，提供产品界面截图证明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支持大内存页和DPDK加速功能，虚拟化界面可配置内存页大小和页数，支持虚拟机NUMA感知功能，保证虚拟机OS的NUMA与主机的NUMA拓扑保持一致，并显示大内存页的使用量和可用内存，提供截图证明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支持精细化的虚拟机迁移控制和独享迁移网络，可配置虚拟机迁移速度，可指定专用独享迁移网络，隔离迁移网络流量与管理网流量，保障用户业务正常运行，提供截图证明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8"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支持vAPP功能，可配置若干台虚拟机组成的应用组，可设置虚拟机启动顺序和启动间隔时间，可批量修改虚拟机组的参数，</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31" w:hRule="atLeast"/>
        </w:trPr>
        <w:tc>
          <w:tcPr>
            <w:tcW w:w="1573" w:type="dxa"/>
            <w:vMerge w:val="continue"/>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支持一键开启和关闭数据中心内、集群内的所有虚拟机，并设置虚拟机跟随主机启动策略以及虚拟机启动优先级策略，方便机房搬迁或关电运维场景使用</w:t>
            </w:r>
            <w:r>
              <w:rPr>
                <w:rFonts w:hint="eastAsia" w:ascii="宋体" w:hAnsi="宋体" w:eastAsia="宋体" w:cs="宋体"/>
                <w:color w:val="000000"/>
                <w:kern w:val="0"/>
                <w:sz w:val="22"/>
                <w:szCs w:val="22"/>
                <w:lang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1573" w:type="dxa"/>
            <w:vAlign w:val="center"/>
          </w:tcPr>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授权数量</w:t>
            </w:r>
          </w:p>
        </w:tc>
        <w:tc>
          <w:tcPr>
            <w:tcW w:w="8226" w:type="dxa"/>
            <w:shd w:val="clear" w:color="auto" w:fill="auto"/>
            <w:vAlign w:val="center"/>
          </w:tcPr>
          <w:p>
            <w:pPr>
              <w:pageBreakBefore w:val="0"/>
              <w:widowControl/>
              <w:kinsoku/>
              <w:wordWrap/>
              <w:overflowPunct/>
              <w:topLinePunct w:val="0"/>
              <w:autoSpaceDE/>
              <w:autoSpaceDN/>
              <w:bidi w:val="0"/>
              <w:adjustRightInd/>
              <w:spacing w:line="288" w:lineRule="auto"/>
              <w:ind w:left="0"/>
              <w:rPr>
                <w:rStyle w:val="7"/>
                <w:rFonts w:hint="eastAsia" w:ascii="宋体" w:hAnsi="宋体" w:eastAsia="宋体" w:cs="宋体"/>
                <w:sz w:val="22"/>
                <w:szCs w:val="22"/>
              </w:rPr>
            </w:pPr>
            <w:r>
              <w:rPr>
                <w:rFonts w:hint="eastAsia" w:ascii="宋体" w:hAnsi="宋体" w:eastAsia="宋体" w:cs="宋体"/>
                <w:color w:val="000000"/>
                <w:sz w:val="22"/>
                <w:szCs w:val="22"/>
              </w:rPr>
              <w:t>实配≥16个服务器虚拟化CPU授权+1套虚拟化管理平台授权</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sz w:val="22"/>
          <w:szCs w:val="22"/>
        </w:rPr>
      </w:pPr>
      <w:r>
        <w:rPr>
          <w:rFonts w:hint="eastAsia" w:ascii="宋体" w:hAnsi="宋体" w:eastAsia="宋体" w:cs="宋体"/>
          <w:sz w:val="22"/>
          <w:szCs w:val="22"/>
        </w:rPr>
        <w:br w:type="page"/>
      </w:r>
    </w:p>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2.3 </w:t>
      </w:r>
      <w:r>
        <w:rPr>
          <w:rFonts w:hint="eastAsia" w:ascii="宋体" w:hAnsi="宋体" w:eastAsia="宋体" w:cs="宋体"/>
          <w:b/>
          <w:bCs/>
          <w:sz w:val="22"/>
          <w:szCs w:val="22"/>
        </w:rPr>
        <w:t>需求三：统一架构存储（1台）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1628"/>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b/>
                <w:bCs/>
                <w:sz w:val="22"/>
                <w:szCs w:val="22"/>
              </w:rPr>
            </w:pPr>
            <w:r>
              <w:rPr>
                <w:rFonts w:hint="eastAsia" w:ascii="宋体" w:hAnsi="宋体" w:eastAsia="宋体" w:cs="宋体"/>
                <w:b/>
                <w:bCs/>
                <w:sz w:val="22"/>
                <w:szCs w:val="22"/>
              </w:rPr>
              <w:t>类别</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b/>
                <w:bCs/>
                <w:sz w:val="22"/>
                <w:szCs w:val="22"/>
              </w:rPr>
            </w:pPr>
            <w:r>
              <w:rPr>
                <w:rFonts w:hint="eastAsia" w:ascii="宋体" w:hAnsi="宋体" w:eastAsia="宋体" w:cs="宋体"/>
                <w:b/>
                <w:bCs/>
                <w:sz w:val="22"/>
                <w:szCs w:val="22"/>
              </w:rPr>
              <w:t>指标项</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b/>
                <w:bCs/>
                <w:sz w:val="22"/>
                <w:szCs w:val="22"/>
              </w:rPr>
            </w:pPr>
            <w:r>
              <w:rPr>
                <w:rFonts w:hint="eastAsia" w:ascii="宋体" w:hAnsi="宋体" w:eastAsia="宋体" w:cs="宋体"/>
                <w:b/>
                <w:bCs/>
                <w:sz w:val="22"/>
                <w:szCs w:val="22"/>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厂商</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厂商资质</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国产知名存储厂商，非中外合资厂商，非OEM或者贴牌,要求与服务器、虚拟化软件为同一品牌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市场品牌</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国内知名品牌，投标品牌厂商连续三年进入Gartner GPDA存储魔力象限的国产设备供应商，并且进入魔力象限厂商品牌与投标厂商一致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市场口碑</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投标品牌厂商在Gartner Peer Insight "Voice of the Customer" GDPA  调研报告中，得分在4.9分及以上；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350"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控制器</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产品描述</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多控制器架构，SAN+NAS架构采用SAN和NAS统一集成的控制器架构，统一管理；（具备FC/IP SAN和NAS融合组网能力）；</w:t>
            </w:r>
            <w:r>
              <w:rPr>
                <w:rFonts w:hint="eastAsia" w:ascii="宋体" w:hAnsi="宋体" w:eastAsia="宋体" w:cs="宋体"/>
                <w:sz w:val="22"/>
                <w:szCs w:val="22"/>
              </w:rPr>
              <w:br w:type="textWrapping"/>
            </w:r>
            <w:r>
              <w:rPr>
                <w:rFonts w:hint="eastAsia" w:ascii="宋体" w:hAnsi="宋体" w:eastAsia="宋体" w:cs="宋体"/>
                <w:sz w:val="22"/>
                <w:szCs w:val="22"/>
              </w:rPr>
              <w:t>控制器扩展能力≥16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体系架构</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本次配置控制器数量≥2；</w:t>
            </w:r>
            <w:r>
              <w:rPr>
                <w:rFonts w:hint="eastAsia" w:ascii="宋体" w:hAnsi="宋体" w:eastAsia="宋体" w:cs="宋体"/>
                <w:sz w:val="22"/>
                <w:szCs w:val="22"/>
              </w:rPr>
              <w:br w:type="textWrapping"/>
            </w:r>
            <w:r>
              <w:rPr>
                <w:rFonts w:hint="eastAsia" w:ascii="宋体" w:hAnsi="宋体" w:eastAsia="宋体" w:cs="宋体"/>
                <w:sz w:val="22"/>
                <w:szCs w:val="22"/>
              </w:rPr>
              <w:t>控制器冗余设计，支持在线更换控制器；在线升级存储系统，无须停机，</w:t>
            </w:r>
            <w:r>
              <w:rPr>
                <w:rFonts w:hint="eastAsia" w:ascii="宋体" w:hAnsi="宋体" w:eastAsia="宋体" w:cs="宋体"/>
                <w:sz w:val="22"/>
                <w:szCs w:val="22"/>
              </w:rPr>
              <w:br w:type="textWrapping"/>
            </w:r>
            <w:r>
              <w:rPr>
                <w:rFonts w:hint="eastAsia" w:ascii="宋体" w:hAnsi="宋体" w:eastAsia="宋体" w:cs="宋体"/>
                <w:sz w:val="22"/>
                <w:szCs w:val="22"/>
              </w:rPr>
              <w:t>具备控制器故障自动切换和自动重建功能，无单点故障影响数据的有效性；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控制柜</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支持2种以上规格的控制柜，控制柜内支持2.5寸，3.5寸硬盘混插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支持三种2U12/2U25/3U48控制柜，要求提供官网资料截图；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控制器</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配置2个存储控制器，最大可以扩展到16个控制器引擎。（不包括外接虚拟化网关或者NAS控制器，GUI统一管理，存储联邦等功能实现多控制器架构）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存储处理器</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每个控制器配置的CPU为Intel Purley平台以上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统一存储</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配置基于控制器的SAN+NAS软件授权，配置原生的NAS功能，无需另配NAS网关。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数据一致性检测</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从主机端口到硬盘全路径支持基于硬件的并符合业界标准的T10-PI数据一致性检测，保障数据的一致性，需提供厂商官网截图证明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主机接口</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配置16Gbps FC主机端口≥8个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支持32G FC、16Gb FC、1/10/40Gb Ethernet等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后端接口</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双控配置4个12Gbpsx4 SAS3.0磁盘接口,双控可扩展到12个48Gbps SAS3.0接口，集群磁盘通道速率≥4608Gbps，集群最大支持96个磁盘接口。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掉电保护</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支持缓存保护，并配置BBU电池保护模组，支持2次备电，保证掉电时Cache数据可安全写入Flash或硬盘永久保存，可以支撑2次以上的数据备份时间，实现无限时断电保护Cache数据的目的。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缓存</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系统缓存</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双控配置高速缓存≥128GB，并且双控可扩展到256GB缓存，集群最大可支持2TB高速缓存（缓存不包含SSD磁盘、PCI-E SSD、闪存、压缩或重删缓存和NAS控制器缓存）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磁盘</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磁盘配置</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配置≥24块1.8TB SAS 10K 2.5寸HDD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扩展柜</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支持四种2U12/2U25/3U48扩展柜，要求提供官网资料截图；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RAID级别</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所有磁盘可同时配置为RAID0/1/5/6/10/50/60，且可共存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支持两种RAID技术，且可以共存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支持两种热备技术，热备盘或者热备空间。且可共存。提供截图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支持业务无中断的在线转换RAID级别。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支持多类型磁盘多方向、无中断在线数据迁移，迁移过程不影响业务性能。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具备去零功能，提高空间利用率。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高速磁盘故障恢复</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采用高速多对多磁盘故障恢复方式，提高恢复速度的同时，可保证磁盘恢复复期间应用的性能。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SSD管理</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lang w:eastAsia="zh-CN"/>
              </w:rPr>
            </w:pPr>
            <w:r>
              <w:rPr>
                <w:rFonts w:hint="eastAsia" w:ascii="宋体" w:hAnsi="宋体" w:eastAsia="宋体" w:cs="宋体"/>
                <w:sz w:val="22"/>
                <w:szCs w:val="22"/>
              </w:rPr>
              <w:t>支持寿命预警，实时图形化显示在线SSD使用寿命，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35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基础管理平台</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管理软件</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图形界面管理软件，支持多种语言（至少包括简体中文和英文），支持多台设备集中管理，支持存储资源管理分析和资源使用历史记录分析，支持性能管理等功能，支持WEB管理，支持CLI管理。支持多种事件通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350"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高级软件特性</w:t>
            </w: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自动精简</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配置全容量许可精简功能，实现存储空间超分配，精简粒度32K、64K、128K、256K可调节，后续扩容无需额外购买许可，要求提供官网资料截图，支持创建单卷≥256TB的容量；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克隆</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配置全容量许可的克隆功能，后续扩容无需额外购买许可。要求提供官网资料截图；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快照</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配置全容量许可快照功能，有效预防各种软故障的发生，快照无需预留空间，后续扩容无需额外购买许可，要求提供官网资料截图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卷备份</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配置全容量许可卷备份功能，有效预防各种软故障的发生，无需预留空间，后续扩容无需额外购买许可，要求提供官网资料截图；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QoS</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配置存储QoS授权许可，支持单卷的IOPS、Bandwidth的限制设定；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卷镜像</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配置卷镜像功能，可实现存储内部，或者不同存储之间的数据同步功能，当其中一个卷离线时，可实现业务无中断，后续扩容无需额外购买许可，要求提供官网资料截图；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性能监控</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配置性能监控和分析软件，配置高级图形化报表软件，可以定制历史运行数据的图形化报表。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二级缓存加速</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支持SSD作为缓存进行业务加速特性，可支持配置最少1块SSD实现加速功能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自动分层</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支持全容量许可的存储自动分层功能，可实现四层数据分层，系统自动将动态热点数据提升至高速盘中，以解决动态数据热点的性能问题，后续扩容无需额外购买许可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远程容灾复制</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支持存储远程复制功能。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支持与同厂商高端型号以及全闪存阵列间实现存储底层复制，包括远程复制和可在线迁移卷。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支持全面的企业级容灾功能，至少必须包含同步、异步周期和异步复制三种主流模式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支持3DC远程复制组网模式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restart"/>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存储双活</w:t>
            </w: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支持Active-Active模式双活架构，主机端的LUN多路径为全Active状态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同时支持基于IP链路的仲裁服务器和基于FC链路的外部仲裁存储，一个双活集群能支持不少于4个仲裁，从而保证双活集群始终有仲裁可用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350"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1628" w:type="dxa"/>
            <w:vMerge w:val="continue"/>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p>
        </w:tc>
        <w:tc>
          <w:tcPr>
            <w:tcW w:w="6860" w:type="dxa"/>
            <w:vAlign w:val="center"/>
          </w:tcPr>
          <w:p>
            <w:pPr>
              <w:pageBreakBefore w:val="0"/>
              <w:kinsoku/>
              <w:wordWrap/>
              <w:overflowPunct/>
              <w:topLinePunct w:val="0"/>
              <w:autoSpaceDE/>
              <w:autoSpaceDN/>
              <w:bidi w:val="0"/>
              <w:adjustRightInd/>
              <w:spacing w:line="288" w:lineRule="auto"/>
              <w:ind w:left="0"/>
              <w:jc w:val="both"/>
              <w:rPr>
                <w:rFonts w:hint="eastAsia" w:ascii="宋体" w:hAnsi="宋体" w:eastAsia="宋体" w:cs="宋体"/>
                <w:sz w:val="22"/>
                <w:szCs w:val="22"/>
              </w:rPr>
            </w:pPr>
            <w:r>
              <w:rPr>
                <w:rFonts w:hint="eastAsia" w:ascii="宋体" w:hAnsi="宋体" w:eastAsia="宋体" w:cs="宋体"/>
                <w:sz w:val="22"/>
                <w:szCs w:val="22"/>
              </w:rPr>
              <w:t>在不加额外网关的情况下可以实现和同厂商高中端型号存储组成双活阵列，要求支持VMWare、Windows Server、MS Hyper-V和Oracle RAC等。</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ageBreakBefore w:val="0"/>
        <w:widowControl/>
        <w:kinsoku/>
        <w:wordWrap/>
        <w:overflowPunct/>
        <w:topLinePunct w:val="0"/>
        <w:autoSpaceDE/>
        <w:autoSpaceDN/>
        <w:bidi w:val="0"/>
        <w:adjustRightInd/>
        <w:spacing w:line="288" w:lineRule="auto"/>
        <w:ind w:left="0"/>
        <w:jc w:val="left"/>
        <w:rPr>
          <w:rFonts w:hint="eastAsia" w:ascii="宋体" w:hAnsi="宋体" w:eastAsia="宋体" w:cs="宋体"/>
          <w:sz w:val="22"/>
          <w:szCs w:val="22"/>
        </w:rPr>
      </w:pPr>
      <w:r>
        <w:rPr>
          <w:rFonts w:hint="eastAsia" w:ascii="宋体" w:hAnsi="宋体" w:eastAsia="宋体" w:cs="宋体"/>
          <w:sz w:val="22"/>
          <w:szCs w:val="22"/>
        </w:rPr>
        <w:br w:type="page"/>
      </w: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2.4 </w:t>
      </w:r>
      <w:r>
        <w:rPr>
          <w:rFonts w:hint="eastAsia" w:ascii="宋体" w:hAnsi="宋体" w:eastAsia="宋体" w:cs="宋体"/>
          <w:b/>
          <w:bCs/>
          <w:sz w:val="22"/>
          <w:szCs w:val="22"/>
        </w:rPr>
        <w:t>需求四：备份一体机（1套）</w:t>
      </w:r>
    </w:p>
    <w:tbl>
      <w:tblPr>
        <w:tblStyle w:val="4"/>
        <w:tblW w:w="973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048"/>
        <w:gridCol w:w="86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260" w:hRule="atLeast"/>
        </w:trPr>
        <w:tc>
          <w:tcPr>
            <w:tcW w:w="1048" w:type="dxa"/>
            <w:shd w:val="clear" w:color="auto" w:fill="auto"/>
            <w:vAlign w:val="center"/>
          </w:tcPr>
          <w:p>
            <w:pPr>
              <w:pageBreakBefore w:val="0"/>
              <w:widowControl/>
              <w:kinsoku/>
              <w:wordWrap/>
              <w:overflowPunct/>
              <w:topLinePunct w:val="0"/>
              <w:autoSpaceDE/>
              <w:autoSpaceDN/>
              <w:bidi w:val="0"/>
              <w:adjustRightInd/>
              <w:spacing w:line="288" w:lineRule="auto"/>
              <w:ind w:lef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类别</w:t>
            </w: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jc w:val="center"/>
              <w:rPr>
                <w:rFonts w:hint="eastAsia" w:ascii="宋体" w:hAnsi="宋体" w:eastAsia="宋体" w:cs="宋体"/>
                <w:color w:val="000000"/>
                <w:kern w:val="0"/>
                <w:sz w:val="22"/>
                <w:szCs w:val="22"/>
              </w:rPr>
            </w:pPr>
            <w:r>
              <w:rPr>
                <w:rFonts w:hint="eastAsia" w:ascii="宋体" w:hAnsi="宋体" w:eastAsia="宋体" w:cs="宋体"/>
                <w:b/>
                <w:bCs/>
                <w:color w:val="000000"/>
                <w:kern w:val="0"/>
                <w:sz w:val="22"/>
                <w:szCs w:val="22"/>
              </w:rPr>
              <w:t>技术要求</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restart"/>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功能参数要求</w:t>
            </w:r>
          </w:p>
          <w:p>
            <w:pPr>
              <w:pageBreakBefore w:val="0"/>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品牌要求：国内品牌，拥有自主知识产权，且与投标虚拟化服务器、存储为同一品牌，具备自主产品的研发、生产、售后能力，非OEM产品或联合品牌</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2U机架式设备</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配置≥2颗Intel Xeon处理器，单颗处理器要求：主频≥2.1GHz，核数≥12</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配置≥64GB内存</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配置≥6块8TB SAS 7.2K硬盘</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配置≥2块480GB SSD</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配置≥1块SAS RAID卡（2GB缓存），含掉电保护</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配置万兆光纤网络接口≥2个（含多模光模块），16G FC接口≥2个</w:t>
            </w:r>
          </w:p>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配置800W冗余电源；</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配置≥30TB备份容量授权许可，不限制虚拟化平台、宿主机无代理备份数量，不限制操作系统、数据库、文件主机数量；提供备份数据重删及压缩、LAN-Free、异地副本功能；</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支持Oracle、SQL Server、MySQL、达梦、人大金仓等主流数据库的在线备份，支持完全备份、增量备份、日志备份，提供多种不同的备份策略。备份过程中无须任何脚本，无须通过命令行方式，采用全图形化方式进行数据库备份或恢复作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支持Windows、Linux、Ubuntu、Debian等系统的下的文件备份及异机恢复；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支持Windows、Linux等主流操作系统的整机备份及恢复；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针对VMware vSphere、InCloud Sphere虚拟化平台无需在虚拟化主机以及虚拟机OS安装任何备份插件；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虚拟机备份支持全量、增量和差异备份，支持虚拟机批量备份、批量恢复；支持备份数据加密/压缩传输；支持备份数据压缩、重复数据删除；支持多种传输方式，如网络传输、LAN-Free以及备份专网传输等；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lang w:eastAsia="zh-CN"/>
              </w:rPr>
            </w:pPr>
            <w:r>
              <w:rPr>
                <w:rFonts w:hint="eastAsia" w:ascii="宋体" w:hAnsi="宋体" w:eastAsia="宋体" w:cs="宋体"/>
                <w:color w:val="000000"/>
                <w:sz w:val="22"/>
                <w:szCs w:val="22"/>
              </w:rPr>
              <w:t>支持VMware vSphere、InCloud Sphere平台CBT备份技术 ，提高备份效率；</w:t>
            </w:r>
            <w:r>
              <w:rPr>
                <w:rFonts w:hint="eastAsia" w:ascii="宋体" w:hAnsi="宋体" w:eastAsia="宋体" w:cs="宋体"/>
                <w:color w:val="00000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lang w:eastAsia="zh-CN"/>
              </w:rPr>
            </w:pPr>
            <w:r>
              <w:rPr>
                <w:rFonts w:hint="eastAsia" w:ascii="宋体" w:hAnsi="宋体" w:eastAsia="宋体" w:cs="宋体"/>
                <w:color w:val="000000"/>
                <w:sz w:val="22"/>
                <w:szCs w:val="22"/>
              </w:rPr>
              <w:t>支持虚拟机瞬时恢复在线迁移功能，可将瞬时恢复的虚拟机从备份系统在线迁移到生产存储，迁移完成后数据不丢失；</w:t>
            </w:r>
            <w:r>
              <w:rPr>
                <w:rFonts w:hint="eastAsia" w:ascii="宋体" w:hAnsi="宋体" w:eastAsia="宋体" w:cs="宋体"/>
                <w:color w:val="00000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lang w:eastAsia="zh-CN"/>
              </w:rPr>
            </w:pPr>
            <w:r>
              <w:rPr>
                <w:rFonts w:hint="eastAsia" w:ascii="宋体" w:hAnsi="宋体" w:eastAsia="宋体" w:cs="宋体"/>
                <w:color w:val="000000"/>
                <w:sz w:val="22"/>
                <w:szCs w:val="22"/>
              </w:rPr>
              <w:t>支持VMware vSphere、InCloud Sphere 等已备份虚拟机细粒度恢复功能，可恢复虚拟机内单个或多个文件；</w:t>
            </w:r>
            <w:r>
              <w:rPr>
                <w:rFonts w:hint="eastAsia" w:ascii="宋体" w:hAnsi="宋体" w:eastAsia="宋体" w:cs="宋体"/>
                <w:color w:val="00000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lang w:eastAsia="zh-CN"/>
              </w:rPr>
            </w:pPr>
            <w:r>
              <w:rPr>
                <w:rFonts w:hint="eastAsia" w:ascii="宋体" w:hAnsi="宋体" w:eastAsia="宋体" w:cs="宋体"/>
                <w:color w:val="000000"/>
                <w:sz w:val="22"/>
                <w:szCs w:val="22"/>
              </w:rPr>
              <w:t>支持虚拟机恢复时修改虚拟机配置，如vCPU、内存，指定存储、虚拟网卡、保留MAC等；</w:t>
            </w:r>
            <w:r>
              <w:rPr>
                <w:rFonts w:hint="eastAsia" w:ascii="宋体" w:hAnsi="宋体" w:eastAsia="宋体" w:cs="宋体"/>
                <w:color w:val="00000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lang w:eastAsia="zh-CN"/>
              </w:rPr>
            </w:pPr>
            <w:r>
              <w:rPr>
                <w:rFonts w:hint="eastAsia" w:ascii="宋体" w:hAnsi="宋体" w:eastAsia="宋体" w:cs="宋体"/>
                <w:color w:val="000000"/>
                <w:sz w:val="22"/>
                <w:szCs w:val="22"/>
              </w:rPr>
              <w:t>考虑数据安全的重要性，备份任务创建时针对备份数据可自定义设置密码，以保证数据的安全，恢复此数据时必须输入密码验证才可执行，防止非法登录备份系统、恶意恢复造成备份数据泄露</w:t>
            </w:r>
            <w:r>
              <w:rPr>
                <w:rFonts w:hint="eastAsia" w:ascii="宋体" w:hAnsi="宋体" w:eastAsia="宋体" w:cs="宋体"/>
                <w:color w:val="000000"/>
                <w:sz w:val="22"/>
                <w:szCs w:val="22"/>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通过WEB界面对备份系统的服务进行管理，且提供WEB管理工具，如网络连通测试工具、端口连通测试工具等，方便运维，提升运维效率；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1048" w:type="dxa"/>
            <w:vMerge w:val="continue"/>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kern w:val="0"/>
                <w:sz w:val="22"/>
                <w:szCs w:val="22"/>
              </w:rPr>
            </w:pPr>
          </w:p>
        </w:tc>
        <w:tc>
          <w:tcPr>
            <w:tcW w:w="8691" w:type="dxa"/>
            <w:shd w:val="clear" w:color="auto" w:fill="auto"/>
            <w:vAlign w:val="center"/>
          </w:tcPr>
          <w:p>
            <w:pPr>
              <w:pageBreakBefore w:val="0"/>
              <w:widowControl/>
              <w:kinsoku/>
              <w:wordWrap/>
              <w:overflowPunct/>
              <w:topLinePunct w:val="0"/>
              <w:autoSpaceDE/>
              <w:autoSpaceDN/>
              <w:bidi w:val="0"/>
              <w:adjustRightInd/>
              <w:spacing w:line="288" w:lineRule="auto"/>
              <w:ind w:left="0"/>
              <w:rPr>
                <w:rFonts w:hint="eastAsia" w:ascii="宋体" w:hAnsi="宋体" w:eastAsia="宋体" w:cs="宋体"/>
                <w:color w:val="000000"/>
                <w:sz w:val="22"/>
                <w:szCs w:val="22"/>
              </w:rPr>
            </w:pPr>
            <w:r>
              <w:rPr>
                <w:rFonts w:hint="eastAsia" w:ascii="宋体" w:hAnsi="宋体" w:eastAsia="宋体" w:cs="宋体"/>
                <w:color w:val="000000"/>
                <w:sz w:val="22"/>
                <w:szCs w:val="22"/>
              </w:rPr>
              <w:t>提供备份系统软件版本一键在线升级功能，通过在线上传升级包即可完成备份系统的软件升级，无需重装备份系统，提升运维效率；</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2.5 </w:t>
      </w:r>
      <w:r>
        <w:rPr>
          <w:rFonts w:hint="eastAsia" w:ascii="宋体" w:hAnsi="宋体" w:eastAsia="宋体" w:cs="宋体"/>
          <w:b/>
          <w:bCs/>
          <w:sz w:val="22"/>
          <w:szCs w:val="22"/>
        </w:rPr>
        <w:t>需求五：应用交付网关(AD)（负载均衡）（2台）</w:t>
      </w:r>
    </w:p>
    <w:tbl>
      <w:tblPr>
        <w:tblStyle w:val="4"/>
        <w:tblW w:w="0" w:type="auto"/>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98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blHeader/>
        </w:trPr>
        <w:tc>
          <w:tcPr>
            <w:tcW w:w="0" w:type="auto"/>
            <w:tcBorders>
              <w:right w:val="single" w:color="auto" w:sz="4" w:space="0"/>
            </w:tcBorders>
            <w:vAlign w:val="center"/>
          </w:tcPr>
          <w:p>
            <w:pPr>
              <w:pageBreakBefore w:val="0"/>
              <w:kinsoku/>
              <w:wordWrap/>
              <w:overflowPunct/>
              <w:topLinePunct w:val="0"/>
              <w:autoSpaceDE/>
              <w:autoSpaceDN/>
              <w:bidi w:val="0"/>
              <w:adjustRightInd/>
              <w:snapToGrid w:val="0"/>
              <w:spacing w:line="288" w:lineRule="auto"/>
              <w:ind w:left="0"/>
              <w:jc w:val="center"/>
              <w:rPr>
                <w:rFonts w:hint="eastAsia" w:ascii="宋体" w:hAnsi="宋体" w:eastAsia="宋体" w:cs="宋体"/>
                <w:sz w:val="22"/>
                <w:szCs w:val="22"/>
              </w:rPr>
            </w:pPr>
            <w:r>
              <w:rPr>
                <w:rFonts w:hint="eastAsia" w:ascii="宋体" w:hAnsi="宋体" w:eastAsia="宋体" w:cs="宋体"/>
                <w:b/>
                <w:bCs/>
                <w:sz w:val="22"/>
                <w:szCs w:val="22"/>
              </w:rPr>
              <w:t>技术要求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需采用独立的专用硬件AD应用交付设备，而非通过添加功能模块的方式实现；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千兆电口≥6 个；千兆光口≥2 个；系统内存≥8 GB；提供SSD固态硬盘，硬盘容量≥1128 GB；1U机箱；单电源；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吞吐量≥3 Gbps；四层并发连接数≥800 万；七层并发连接数≥100 万；四层新建能力（CPS）≥10 万；七层新建能力（RPS）≥15 万;DNS性能（QPS）≥20万；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支持串接部署方式和旁路部署方式，支持三角传输模式；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提供针对多条出口线路的链路负载均衡功能，实现inbound和outbound流量的均衡调度，以及链路之间的冗余互备；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提供针对L4/L7内容交换的服务器负载均衡功能，可在单一设备上支持多个应用和服务器集群，可以根据多种算法和要求分配用户的请求；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提供针对多站点业务发布的全局负载均衡功能，通过智能DNS等机制实现内外网用户对多个数据中心的最优接入路径选择；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单一设备可同时支持包括链路负载均衡、全局负载均衡和服务器负载均衡的功能。三种功能同时处于激活可使用状态，无需额外购买相应授权；</w:t>
            </w:r>
            <w:r>
              <w:rPr>
                <w:rFonts w:hint="eastAsia" w:ascii="宋体" w:hAnsi="宋体" w:eastAsia="宋体" w:cs="宋体"/>
                <w:sz w:val="22"/>
                <w:szCs w:val="22"/>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链路负载均衡支持轮询、带宽比例、加权最小流量、动态就近性和加权源IP哈希等算法；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支持静态IP和PPPOE两种线路接入方式；</w:t>
            </w:r>
            <w:r>
              <w:rPr>
                <w:rFonts w:hint="eastAsia" w:ascii="宋体" w:hAnsi="宋体" w:eastAsia="宋体" w:cs="宋体"/>
                <w:sz w:val="22"/>
                <w:szCs w:val="22"/>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支持基于五元组条件（源IP地址，源端口，目的IP地址，目的端口，传输层协议号）来进行出站访问的流量调度分发；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支持CAA的DNS记录类型；</w:t>
            </w:r>
            <w:r>
              <w:rPr>
                <w:rFonts w:hint="eastAsia" w:ascii="宋体" w:hAnsi="宋体" w:eastAsia="宋体" w:cs="宋体"/>
                <w:sz w:val="22"/>
                <w:szCs w:val="22"/>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支持OceanBase、达梦、人大金仓和TDSQL数据库的负载均衡；</w:t>
            </w:r>
            <w:r>
              <w:rPr>
                <w:rFonts w:hint="eastAsia" w:ascii="宋体" w:hAnsi="宋体" w:eastAsia="宋体" w:cs="宋体"/>
                <w:sz w:val="22"/>
                <w:szCs w:val="22"/>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lang w:eastAsia="zh-Hans"/>
              </w:rPr>
              <w:t>支持设置允许递归的访问控制列表信息，避免递归查询带来的性能消耗，同时防止递归放大攻击；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 w:hRule="atLeast"/>
        </w:trPr>
        <w:tc>
          <w:tcPr>
            <w:tcW w:w="0" w:type="auto"/>
            <w:tcBorders>
              <w:right w:val="single" w:color="auto" w:sz="4" w:space="0"/>
            </w:tcBorders>
            <w:vAlign w:val="center"/>
          </w:tcPr>
          <w:p>
            <w:pPr>
              <w:pStyle w:val="9"/>
              <w:keepNext w:val="0"/>
              <w:keepLines w:val="0"/>
              <w:pageBreakBefore w:val="0"/>
              <w:widowControl w:val="0"/>
              <w:numPr>
                <w:ilvl w:val="0"/>
                <w:numId w:val="1"/>
              </w:numPr>
              <w:kinsoku/>
              <w:wordWrap/>
              <w:overflowPunct/>
              <w:topLinePunct w:val="0"/>
              <w:autoSpaceDE/>
              <w:autoSpaceDN/>
              <w:bidi w:val="0"/>
              <w:adjustRightInd/>
              <w:snapToGrid w:val="0"/>
              <w:spacing w:line="288" w:lineRule="auto"/>
              <w:ind w:left="420" w:hanging="420" w:firstLineChars="0"/>
              <w:textAlignment w:val="auto"/>
              <w:rPr>
                <w:rFonts w:hint="eastAsia" w:ascii="宋体" w:hAnsi="宋体" w:eastAsia="宋体" w:cs="宋体"/>
                <w:sz w:val="22"/>
                <w:szCs w:val="22"/>
              </w:rPr>
            </w:pPr>
            <w:r>
              <w:rPr>
                <w:rFonts w:hint="eastAsia" w:ascii="宋体" w:hAnsi="宋体" w:eastAsia="宋体" w:cs="宋体"/>
                <w:sz w:val="22"/>
                <w:szCs w:val="22"/>
              </w:rPr>
              <w:t>支持对设备的管理日志进行新旧配置对比，及时发现设备管理上的变化；</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p>
      <w:pPr>
        <w:pStyle w:val="3"/>
        <w:pageBreakBefore w:val="0"/>
        <w:kinsoku/>
        <w:wordWrap/>
        <w:overflowPunct/>
        <w:topLinePunct w:val="0"/>
        <w:autoSpaceDE/>
        <w:autoSpaceDN/>
        <w:bidi w:val="0"/>
        <w:adjustRightInd/>
        <w:spacing w:before="0" w:after="0" w:line="288" w:lineRule="auto"/>
        <w:ind w:left="0"/>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2.6 </w:t>
      </w:r>
      <w:r>
        <w:rPr>
          <w:rFonts w:hint="eastAsia" w:ascii="宋体" w:hAnsi="宋体" w:eastAsia="宋体" w:cs="宋体"/>
          <w:b/>
          <w:bCs/>
          <w:sz w:val="22"/>
          <w:szCs w:val="22"/>
        </w:rPr>
        <w:t>需求六：业务安全软件</w:t>
      </w:r>
    </w:p>
    <w:tbl>
      <w:tblPr>
        <w:tblStyle w:val="4"/>
        <w:tblW w:w="9910" w:type="dxa"/>
        <w:tblInd w:w="96" w:type="dxa"/>
        <w:tblLayout w:type="autofit"/>
        <w:tblCellMar>
          <w:top w:w="0" w:type="dxa"/>
          <w:left w:w="108" w:type="dxa"/>
          <w:bottom w:w="0" w:type="dxa"/>
          <w:right w:w="108" w:type="dxa"/>
        </w:tblCellMar>
      </w:tblPr>
      <w:tblGrid>
        <w:gridCol w:w="9910"/>
      </w:tblGrid>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pacing w:line="288" w:lineRule="auto"/>
              <w:ind w:left="0"/>
              <w:jc w:val="center"/>
              <w:textAlignment w:val="center"/>
              <w:rPr>
                <w:rFonts w:hint="eastAsia" w:ascii="宋体" w:hAnsi="宋体" w:eastAsia="宋体" w:cs="宋体"/>
                <w:sz w:val="22"/>
                <w:szCs w:val="22"/>
              </w:rPr>
            </w:pPr>
            <w:r>
              <w:rPr>
                <w:rFonts w:hint="eastAsia" w:ascii="宋体" w:hAnsi="宋体" w:eastAsia="宋体" w:cs="宋体"/>
                <w:b/>
                <w:bCs/>
                <w:kern w:val="0"/>
                <w:sz w:val="22"/>
                <w:szCs w:val="22"/>
                <w:lang w:bidi="ar"/>
              </w:rPr>
              <w:t>技术要求</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支持主机插件在策略编排中心的注册</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支持接收主机插件上报的服务器端口监听、进程、进程关联服务等信息</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支持根据主机插件上报的基础信息进行业务发现、根据特征库对文件类服务、WEB应用类服务、数据库类服务、邮件类服务等进行业务识别、初步分类</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支持对发现的业务进行全局唯一标记，向主机插件下发通信采集等命令</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支持搜集并分析主机插件上报的各业务互相通信采样信息,形成访问关系、业务是否对外服务、业务内网服务IP端口信息、业务外网服务IP端口信息等</w:t>
            </w:r>
          </w:p>
        </w:tc>
      </w:tr>
      <w:tr>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支持展示业务访问关系视图，基于地域、服务器类型、位置等进行初步分组，通过分层方式、鹰眼视图、缩放等可视化技术支持大规模业务关系展示</w:t>
            </w:r>
          </w:p>
        </w:tc>
      </w:tr>
      <w:tr>
        <w:tblPrEx>
          <w:tblCellMar>
            <w:top w:w="0" w:type="dxa"/>
            <w:left w:w="108" w:type="dxa"/>
            <w:bottom w:w="0" w:type="dxa"/>
            <w:right w:w="108" w:type="dxa"/>
          </w:tblCellMar>
        </w:tblPrEx>
        <w:trPr>
          <w:trHeight w:val="23" w:hRule="atLeast"/>
        </w:trPr>
        <w:tc>
          <w:tcPr>
            <w:tcW w:w="99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支持点击鼠标展示业务基本信息，包括名称、类型、是否对外服务、内网IP端口、外网IP端口、互访关系、互访关系数量、节点流量信息等</w:t>
            </w:r>
            <w:r>
              <w:rPr>
                <w:rFonts w:hint="eastAsia" w:ascii="宋体" w:hAnsi="宋体" w:eastAsia="宋体" w:cs="宋体"/>
                <w:color w:val="000000"/>
                <w:kern w:val="0"/>
                <w:sz w:val="22"/>
                <w:szCs w:val="22"/>
                <w:lang w:val="en-US" w:eastAsia="zh-CN"/>
              </w:rPr>
              <w:t xml:space="preserve"> </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支持点击或鼠标浮动互访关系连线时，高亮并突出展示连线两端的应用信息、协议号,支持对指定协议号备注协议名称等信息并替换展示</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支持通过配置策略编排中心IP、端口方式，主机插件利用SPA敲门后与策略编排中心建立安全控制通道</w:t>
            </w:r>
            <w:r>
              <w:rPr>
                <w:rFonts w:hint="eastAsia" w:ascii="宋体" w:hAnsi="宋体" w:eastAsia="宋体" w:cs="宋体"/>
                <w:color w:val="000000"/>
                <w:kern w:val="0"/>
                <w:sz w:val="22"/>
                <w:szCs w:val="22"/>
                <w:lang w:val="en-US" w:eastAsia="zh-CN"/>
              </w:rPr>
              <w:t xml:space="preserve"> </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支持限制自身对宿主机的资源消耗占用比例</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支持应用服务器资源占用较高时暂停采样，资源占用恢复时自动恢复,阈值可配置</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支持低资源消耗采样机制，即首包识别技术(相同的流仅对首包进行采样)，对于相同源、目的特征的报文在一定时间内不重复采样，对于已发现的访问关系，在一定时间内，不进行重复监听采样</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支持采集应用服务器上监听的端口、端口对应的进程、进程关联服务，并上报给策略编排中心</w:t>
            </w:r>
            <w:r>
              <w:rPr>
                <w:rFonts w:hint="eastAsia" w:ascii="宋体" w:hAnsi="宋体" w:eastAsia="宋体" w:cs="宋体"/>
                <w:color w:val="000000"/>
                <w:kern w:val="0"/>
                <w:sz w:val="22"/>
                <w:szCs w:val="22"/>
                <w:lang w:val="en-US" w:eastAsia="zh-CN"/>
              </w:rPr>
              <w:t xml:space="preserve"> </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支持响应策略编排中心的业务通信采集命令，对指定业务进程发起的网络通信发起拦截进行采样，并根据规则对采样的通信报文进行标记</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支持对指定业务进程收到的网络通信报文进行拦截,并分析是否存在通信标记，将采集结果上报给策略编排中心</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支持对业务进程的通信进行持续的、周期性的采样跟踪，以检查已发现的通信关系是否维持，以及发现新的通信关系</w:t>
            </w:r>
          </w:p>
        </w:tc>
      </w:tr>
      <w:tr>
        <w:tblPrEx>
          <w:tblCellMar>
            <w:top w:w="0" w:type="dxa"/>
            <w:left w:w="108" w:type="dxa"/>
            <w:bottom w:w="0" w:type="dxa"/>
            <w:right w:w="108" w:type="dxa"/>
          </w:tblCellMar>
        </w:tblPrEx>
        <w:trPr>
          <w:trHeight w:val="23" w:hRule="atLeast"/>
        </w:trPr>
        <w:tc>
          <w:tcPr>
            <w:tcW w:w="9910" w:type="dxa"/>
            <w:tcBorders>
              <w:top w:val="single" w:color="auto" w:sz="4" w:space="0"/>
              <w:left w:val="single" w:color="auto" w:sz="4" w:space="0"/>
              <w:bottom w:val="single" w:color="auto" w:sz="4" w:space="0"/>
              <w:right w:val="single" w:color="auto" w:sz="4" w:space="0"/>
            </w:tcBorders>
            <w:shd w:val="clear" w:color="auto" w:fill="FFFFFF"/>
            <w:vAlign w:val="center"/>
          </w:tcPr>
          <w:p>
            <w:pPr>
              <w:pageBreakBefore w:val="0"/>
              <w:numPr>
                <w:ilvl w:val="0"/>
                <w:numId w:val="2"/>
              </w:numPr>
              <w:kinsoku/>
              <w:wordWrap/>
              <w:overflowPunct/>
              <w:topLinePunct w:val="0"/>
              <w:autoSpaceDE/>
              <w:autoSpaceDN/>
              <w:bidi w:val="0"/>
              <w:adjustRightInd/>
              <w:spacing w:line="288" w:lineRule="auto"/>
              <w:ind w:left="425" w:leftChars="0" w:hanging="425"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支持根据策略编排中心的策略，对主机间通信关系放通或阻断</w:t>
            </w:r>
          </w:p>
        </w:tc>
      </w:tr>
    </w:tbl>
    <w:p>
      <w:pPr>
        <w:pageBreakBefore w:val="0"/>
        <w:kinsoku/>
        <w:wordWrap/>
        <w:overflowPunct/>
        <w:topLinePunct w:val="0"/>
        <w:autoSpaceDE/>
        <w:autoSpaceDN/>
        <w:bidi w:val="0"/>
        <w:adjustRightInd/>
        <w:spacing w:line="288" w:lineRule="auto"/>
        <w:ind w:left="0"/>
        <w:rPr>
          <w:rFonts w:hint="eastAsia" w:ascii="宋体" w:hAnsi="宋体" w:eastAsia="宋体" w:cs="宋体"/>
          <w:sz w:val="22"/>
          <w:szCs w:val="22"/>
        </w:rPr>
      </w:pPr>
    </w:p>
    <w:sectPr>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YaHei">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FBED5"/>
    <w:multiLevelType w:val="singleLevel"/>
    <w:tmpl w:val="0A7FBED5"/>
    <w:lvl w:ilvl="0" w:tentative="0">
      <w:start w:val="1"/>
      <w:numFmt w:val="decimal"/>
      <w:lvlText w:val="%1."/>
      <w:lvlJc w:val="left"/>
      <w:pPr>
        <w:ind w:left="425" w:hanging="425"/>
      </w:pPr>
      <w:rPr>
        <w:rFonts w:hint="default"/>
      </w:rPr>
    </w:lvl>
  </w:abstractNum>
  <w:abstractNum w:abstractNumId="1">
    <w:nsid w:val="60C127E5"/>
    <w:multiLevelType w:val="multilevel"/>
    <w:tmpl w:val="60C127E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xMjI4ZmJhNjE4MWY4YWUyNDgwNWI2MjE0MjQ5NzQifQ=="/>
  </w:docVars>
  <w:rsids>
    <w:rsidRoot w:val="00594594"/>
    <w:rsid w:val="00003CCF"/>
    <w:rsid w:val="00125E36"/>
    <w:rsid w:val="00162163"/>
    <w:rsid w:val="0020474C"/>
    <w:rsid w:val="00207246"/>
    <w:rsid w:val="002362A4"/>
    <w:rsid w:val="00313ACC"/>
    <w:rsid w:val="00442CEC"/>
    <w:rsid w:val="00534787"/>
    <w:rsid w:val="00545A2B"/>
    <w:rsid w:val="00594594"/>
    <w:rsid w:val="005D5475"/>
    <w:rsid w:val="006F4846"/>
    <w:rsid w:val="00786279"/>
    <w:rsid w:val="00972BD1"/>
    <w:rsid w:val="00AB5D7B"/>
    <w:rsid w:val="00AD763D"/>
    <w:rsid w:val="00B062A5"/>
    <w:rsid w:val="00C1556E"/>
    <w:rsid w:val="00C9759D"/>
    <w:rsid w:val="00CB328F"/>
    <w:rsid w:val="00CD65FF"/>
    <w:rsid w:val="00CE5BE4"/>
    <w:rsid w:val="00D02FEE"/>
    <w:rsid w:val="00EE7AFA"/>
    <w:rsid w:val="00F36146"/>
    <w:rsid w:val="00F778BF"/>
    <w:rsid w:val="00FF41CD"/>
    <w:rsid w:val="048B5BE2"/>
    <w:rsid w:val="07F867B2"/>
    <w:rsid w:val="114527D2"/>
    <w:rsid w:val="12C624DB"/>
    <w:rsid w:val="18F63219"/>
    <w:rsid w:val="38712556"/>
    <w:rsid w:val="40BC619F"/>
    <w:rsid w:val="4B2E0668"/>
    <w:rsid w:val="5813728B"/>
    <w:rsid w:val="661E3335"/>
    <w:rsid w:val="774A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Lines="0" w:beforeAutospacing="0" w:afterLines="0" w:afterAutospacing="0" w:line="288" w:lineRule="auto"/>
      <w:outlineLvl w:val="0"/>
    </w:pPr>
    <w:rPr>
      <w:rFonts w:asciiTheme="minorAscii" w:hAnsiTheme="minorAscii"/>
      <w:b/>
      <w:kern w:val="44"/>
      <w:sz w:val="22"/>
    </w:rPr>
  </w:style>
  <w:style w:type="paragraph" w:styleId="3">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style01"/>
    <w:qFormat/>
    <w:uiPriority w:val="0"/>
    <w:rPr>
      <w:rFonts w:hint="eastAsia" w:ascii="宋体" w:hAnsi="宋体" w:eastAsia="宋体"/>
      <w:color w:val="000000"/>
      <w:sz w:val="20"/>
      <w:szCs w:val="20"/>
    </w:rPr>
  </w:style>
  <w:style w:type="character" w:customStyle="1" w:styleId="8">
    <w:name w:val="标题 2 字符"/>
    <w:basedOn w:val="6"/>
    <w:link w:val="3"/>
    <w:qFormat/>
    <w:uiPriority w:val="9"/>
    <w:rPr>
      <w:rFonts w:asciiTheme="majorHAnsi" w:hAnsiTheme="majorHAnsi" w:eastAsiaTheme="majorEastAsia" w:cstheme="majorBidi"/>
      <w:b/>
      <w:bCs/>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1287</Words>
  <Characters>7337</Characters>
  <Lines>61</Lines>
  <Paragraphs>17</Paragraphs>
  <TotalTime>11</TotalTime>
  <ScaleCrop>false</ScaleCrop>
  <LinksUpToDate>false</LinksUpToDate>
  <CharactersWithSpaces>8607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2024-06-18T05:35:00Z</dcterms:created>
  <dc:creator>Johon.qian</dc:creator>
  <cp:lastModifiedBy>wsf</cp:lastModifiedBy>
  <dcterms:modified xsi:type="dcterms:W3CDTF">2024-06-19T08:07:56Z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2B4B4E8597A24E19825B412672D9C0E9_13</vt:lpwstr>
  </property>
</Properties>
</file>